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D2" w:rsidRPr="00BB532A" w:rsidRDefault="002B7DD2" w:rsidP="002B7DD2">
      <w:pPr>
        <w:rPr>
          <w:rFonts w:ascii="標楷體" w:eastAsia="標楷體" w:hAnsi="標楷體"/>
          <w:sz w:val="28"/>
          <w:szCs w:val="28"/>
        </w:rPr>
      </w:pPr>
      <w:bookmarkStart w:id="0" w:name="_GoBack"/>
      <w:bookmarkEnd w:id="0"/>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E9784F" w:rsidP="00E9784F">
            <w:pPr>
              <w:rPr>
                <w:rFonts w:ascii="標楷體" w:eastAsia="標楷體" w:hAnsi="標楷體"/>
              </w:rPr>
            </w:pPr>
            <w:r>
              <w:rPr>
                <w:rFonts w:ascii="標楷體" w:eastAsia="標楷體" w:hAnsi="標楷體"/>
              </w:rPr>
              <w:t>1</w:t>
            </w:r>
            <w:r>
              <w:rPr>
                <w:rFonts w:ascii="標楷體" w:eastAsia="標楷體" w:hAnsi="標楷體" w:hint="eastAsia"/>
              </w:rPr>
              <w:t>10</w:t>
            </w:r>
            <w:r w:rsidR="007D48E4" w:rsidRPr="00BB532A">
              <w:rPr>
                <w:rFonts w:ascii="標楷體" w:eastAsia="標楷體" w:hAnsi="標楷體"/>
              </w:rPr>
              <w:t>.</w:t>
            </w:r>
            <w:r>
              <w:rPr>
                <w:rFonts w:ascii="標楷體" w:eastAsia="標楷體" w:hAnsi="標楷體" w:hint="eastAsia"/>
              </w:rPr>
              <w:t>04.22</w:t>
            </w:r>
            <w:r w:rsidR="007D48E4" w:rsidRPr="00BB532A">
              <w:rPr>
                <w:rFonts w:ascii="標楷體" w:eastAsia="標楷體" w:hAnsi="標楷體" w:hint="eastAsia"/>
              </w:rPr>
              <w:t>（四）</w:t>
            </w:r>
            <w:r w:rsidR="007D48E4"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E9784F"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力學教具研習</w:t>
            </w:r>
          </w:p>
        </w:tc>
        <w:tc>
          <w:tcPr>
            <w:tcW w:w="2005" w:type="dxa"/>
            <w:tcBorders>
              <w:top w:val="single" w:sz="4" w:space="0" w:color="auto"/>
              <w:left w:val="single" w:sz="4" w:space="0" w:color="auto"/>
              <w:bottom w:val="single" w:sz="4" w:space="0" w:color="auto"/>
              <w:right w:val="single" w:sz="4" w:space="0" w:color="auto"/>
            </w:tcBorders>
            <w:vAlign w:val="center"/>
            <w:hideMark/>
          </w:tcPr>
          <w:p w:rsidR="00894664" w:rsidRPr="00BB532A" w:rsidRDefault="00E9784F" w:rsidP="00FE7F82">
            <w:pPr>
              <w:spacing w:line="320" w:lineRule="exact"/>
              <w:jc w:val="center"/>
              <w:rPr>
                <w:rFonts w:ascii="標楷體" w:eastAsia="標楷體" w:hAnsi="標楷體"/>
              </w:rPr>
            </w:pPr>
            <w:r>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0A6BCB" w:rsidRPr="00BB532A" w:rsidRDefault="00E9784F" w:rsidP="00E9784F">
            <w:pPr>
              <w:spacing w:line="320" w:lineRule="exact"/>
              <w:jc w:val="center"/>
              <w:rPr>
                <w:rFonts w:ascii="標楷體" w:eastAsia="標楷體" w:hAnsi="標楷體"/>
              </w:rPr>
            </w:pPr>
            <w:r>
              <w:rPr>
                <w:rFonts w:ascii="標楷體" w:eastAsia="標楷體" w:hAnsi="標楷體" w:hint="eastAsia"/>
              </w:rPr>
              <w:t>陳坤龍老師</w:t>
            </w:r>
          </w:p>
        </w:tc>
      </w:tr>
    </w:tbl>
    <w:p w:rsidR="007D48E4" w:rsidRPr="00BB532A" w:rsidRDefault="007D48E4" w:rsidP="007D48E4">
      <w:pPr>
        <w:pStyle w:val="a3"/>
        <w:ind w:leftChars="0"/>
        <w:rPr>
          <w:rFonts w:ascii="標楷體" w:eastAsia="標楷體" w:hAnsi="標楷體"/>
        </w:rPr>
      </w:pPr>
    </w:p>
    <w:p w:rsid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參加對象</w:t>
      </w:r>
      <w:r w:rsidR="00F35262" w:rsidRPr="00E9784F">
        <w:rPr>
          <w:rFonts w:ascii="標楷體" w:eastAsia="標楷體" w:hAnsi="標楷體" w:hint="eastAsia"/>
        </w:rPr>
        <w:t>:</w:t>
      </w:r>
      <w:r w:rsidR="007D48E4" w:rsidRPr="00E9784F">
        <w:rPr>
          <w:rFonts w:ascii="標楷體" w:eastAsia="標楷體" w:hAnsi="標楷體" w:hint="eastAsia"/>
        </w:rPr>
        <w:t>屏東縣自然領域國中小學教師，每場計</w:t>
      </w:r>
      <w:r w:rsidR="00E9784F" w:rsidRPr="00E9784F">
        <w:rPr>
          <w:rFonts w:ascii="標楷體" w:eastAsia="標楷體" w:hAnsi="標楷體" w:hint="eastAsia"/>
        </w:rPr>
        <w:t>2</w:t>
      </w:r>
      <w:r w:rsidR="007D48E4" w:rsidRPr="00E9784F">
        <w:rPr>
          <w:rFonts w:ascii="標楷體" w:eastAsia="標楷體" w:hAnsi="標楷體"/>
        </w:rPr>
        <w:t>0</w:t>
      </w:r>
      <w:r w:rsidR="007D48E4" w:rsidRPr="00E9784F">
        <w:rPr>
          <w:rFonts w:ascii="標楷體" w:eastAsia="標楷體" w:hAnsi="標楷體" w:hint="eastAsia"/>
        </w:rPr>
        <w:t>人</w:t>
      </w:r>
    </w:p>
    <w:p w:rsidR="002B7DD2" w:rsidRP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經費概算:由屏東縣109學年度精進國民中小學教師教學專業與課程品質整體推動計畫</w:t>
      </w:r>
      <w:r w:rsidR="00F35262" w:rsidRPr="00E9784F">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jc w:val="center"/>
        <w:rPr>
          <w:rFonts w:ascii="標楷體" w:eastAsia="標楷體" w:hAnsi="標楷體"/>
        </w:rPr>
      </w:pPr>
      <w:r w:rsidRPr="00BB532A">
        <w:rPr>
          <w:rFonts w:ascii="標楷體" w:eastAsia="標楷體" w:hAnsi="標楷體" w:hint="eastAsia"/>
        </w:rPr>
        <w:lastRenderedPageBreak/>
        <w:t>子計畫3-素養導向教學與評量研習計畫</w:t>
      </w:r>
      <w:r>
        <w:rPr>
          <w:rFonts w:ascii="標楷體" w:eastAsia="標楷體" w:hAnsi="標楷體" w:hint="eastAsia"/>
        </w:rPr>
        <w:t>經費概算表</w:t>
      </w:r>
    </w:p>
    <w:tbl>
      <w:tblPr>
        <w:tblStyle w:val="a7"/>
        <w:tblW w:w="0" w:type="auto"/>
        <w:tblLook w:val="04A0" w:firstRow="1" w:lastRow="0" w:firstColumn="1" w:lastColumn="0" w:noHBand="0" w:noVBand="1"/>
      </w:tblPr>
      <w:tblGrid>
        <w:gridCol w:w="704"/>
        <w:gridCol w:w="2398"/>
        <w:gridCol w:w="1636"/>
        <w:gridCol w:w="1069"/>
        <w:gridCol w:w="1276"/>
        <w:gridCol w:w="2262"/>
      </w:tblGrid>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項次</w:t>
            </w:r>
          </w:p>
        </w:tc>
        <w:tc>
          <w:tcPr>
            <w:tcW w:w="2398" w:type="dxa"/>
            <w:vAlign w:val="center"/>
          </w:tcPr>
          <w:p w:rsidR="005B7E79" w:rsidRPr="00E83217" w:rsidRDefault="005B7E79" w:rsidP="005B7E79">
            <w:pPr>
              <w:widowControl/>
              <w:rPr>
                <w:rFonts w:ascii="標楷體" w:eastAsia="標楷體" w:hAnsi="標楷體"/>
                <w:sz w:val="20"/>
                <w:szCs w:val="20"/>
              </w:rPr>
            </w:pPr>
            <w:r w:rsidRPr="00E83217">
              <w:rPr>
                <w:rFonts w:ascii="標楷體" w:eastAsia="標楷體" w:hAnsi="標楷體" w:hint="eastAsia"/>
                <w:sz w:val="20"/>
                <w:szCs w:val="20"/>
              </w:rPr>
              <w:t>經費項目</w:t>
            </w:r>
          </w:p>
        </w:tc>
        <w:tc>
          <w:tcPr>
            <w:tcW w:w="1636"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單價（元）</w:t>
            </w:r>
          </w:p>
        </w:tc>
        <w:tc>
          <w:tcPr>
            <w:tcW w:w="1069"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數量</w:t>
            </w:r>
          </w:p>
        </w:tc>
        <w:tc>
          <w:tcPr>
            <w:tcW w:w="1276" w:type="dxa"/>
          </w:tcPr>
          <w:p w:rsidR="005B7E79" w:rsidRDefault="005B7E79" w:rsidP="005B7E79">
            <w:pPr>
              <w:jc w:val="center"/>
              <w:rPr>
                <w:rFonts w:ascii="標楷體" w:eastAsia="標楷體" w:hAnsi="標楷體"/>
              </w:rPr>
            </w:pPr>
            <w:r>
              <w:rPr>
                <w:rFonts w:ascii="標楷體" w:eastAsia="標楷體" w:hAnsi="標楷體" w:hint="eastAsia"/>
              </w:rPr>
              <w:t>合計(元)</w:t>
            </w:r>
          </w:p>
        </w:tc>
        <w:tc>
          <w:tcPr>
            <w:tcW w:w="2262" w:type="dxa"/>
          </w:tcPr>
          <w:p w:rsidR="005B7E79" w:rsidRDefault="005B7E79" w:rsidP="005B7E79">
            <w:pPr>
              <w:jc w:val="center"/>
              <w:rPr>
                <w:rFonts w:ascii="標楷體" w:eastAsia="標楷體" w:hAnsi="標楷體"/>
              </w:rPr>
            </w:pPr>
            <w:r>
              <w:rPr>
                <w:rFonts w:ascii="標楷體" w:eastAsia="標楷體" w:hAnsi="標楷體" w:hint="eastAsia"/>
              </w:rPr>
              <w:t>備註</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講師費</w:t>
            </w:r>
          </w:p>
        </w:tc>
        <w:tc>
          <w:tcPr>
            <w:tcW w:w="1636" w:type="dxa"/>
          </w:tcPr>
          <w:p w:rsidR="005B7E79" w:rsidRDefault="005B7E79" w:rsidP="005B7E79">
            <w:pPr>
              <w:jc w:val="center"/>
              <w:rPr>
                <w:rFonts w:ascii="標楷體" w:eastAsia="標楷體" w:hAnsi="標楷體"/>
              </w:rPr>
            </w:pPr>
            <w:r>
              <w:rPr>
                <w:rFonts w:ascii="標楷體" w:eastAsia="標楷體" w:hAnsi="標楷體" w:hint="eastAsia"/>
              </w:rPr>
              <w:t>2000</w:t>
            </w:r>
          </w:p>
        </w:tc>
        <w:tc>
          <w:tcPr>
            <w:tcW w:w="1069" w:type="dxa"/>
          </w:tcPr>
          <w:p w:rsidR="005B7E79" w:rsidRDefault="00E9784F" w:rsidP="005B7E79">
            <w:pPr>
              <w:jc w:val="center"/>
              <w:rPr>
                <w:rFonts w:ascii="標楷體" w:eastAsia="標楷體" w:hAnsi="標楷體"/>
              </w:rPr>
            </w:pPr>
            <w:r>
              <w:rPr>
                <w:rFonts w:ascii="標楷體" w:eastAsia="標楷體" w:hAnsi="標楷體" w:hint="eastAsia"/>
              </w:rPr>
              <w:t>3</w:t>
            </w:r>
            <w:r w:rsidR="005B7E79">
              <w:rPr>
                <w:rFonts w:ascii="標楷體" w:eastAsia="標楷體" w:hAnsi="標楷體" w:hint="eastAsia"/>
              </w:rPr>
              <w:t>時</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6</w:t>
            </w:r>
            <w:r w:rsidR="005B7E79">
              <w:rPr>
                <w:rFonts w:ascii="標楷體" w:eastAsia="標楷體" w:hAnsi="標楷體" w:hint="eastAsia"/>
              </w:rPr>
              <w:t>000</w:t>
            </w:r>
          </w:p>
        </w:tc>
        <w:tc>
          <w:tcPr>
            <w:tcW w:w="2262" w:type="dxa"/>
          </w:tcPr>
          <w:p w:rsidR="005B7E79" w:rsidRDefault="00E9214D" w:rsidP="00E9784F">
            <w:pPr>
              <w:jc w:val="center"/>
              <w:rPr>
                <w:rFonts w:ascii="標楷體" w:eastAsia="標楷體" w:hAnsi="標楷體"/>
              </w:rPr>
            </w:pPr>
            <w:r>
              <w:rPr>
                <w:rFonts w:ascii="標楷體" w:eastAsia="標楷體" w:hAnsi="標楷體" w:hint="eastAsia"/>
              </w:rPr>
              <w:t>2000元/時</w:t>
            </w:r>
            <w:r w:rsidR="00894664">
              <w:rPr>
                <w:rFonts w:ascii="標楷體" w:eastAsia="標楷體" w:hAnsi="標楷體" w:hint="eastAsia"/>
              </w:rPr>
              <w:t>*</w:t>
            </w:r>
            <w:r w:rsidR="00E9784F">
              <w:rPr>
                <w:rFonts w:ascii="標楷體" w:eastAsia="標楷體" w:hAnsi="標楷體" w:hint="eastAsia"/>
              </w:rPr>
              <w:t>3</w:t>
            </w:r>
            <w:r>
              <w:rPr>
                <w:rFonts w:ascii="標楷體" w:eastAsia="標楷體" w:hAnsi="標楷體" w:hint="eastAsia"/>
              </w:rPr>
              <w:t>時</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2</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機關補充保費</w:t>
            </w:r>
          </w:p>
        </w:tc>
        <w:tc>
          <w:tcPr>
            <w:tcW w:w="163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1069"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2262" w:type="dxa"/>
          </w:tcPr>
          <w:p w:rsidR="005B7E79" w:rsidRDefault="00E9784F" w:rsidP="005B7E79">
            <w:pPr>
              <w:jc w:val="center"/>
              <w:rPr>
                <w:rFonts w:ascii="標楷體" w:eastAsia="標楷體" w:hAnsi="標楷體"/>
              </w:rPr>
            </w:pPr>
            <w:r>
              <w:rPr>
                <w:rFonts w:ascii="標楷體" w:eastAsia="標楷體" w:hAnsi="標楷體" w:hint="eastAsia"/>
              </w:rPr>
              <w:t>6</w:t>
            </w:r>
            <w:r w:rsidR="00E9214D">
              <w:rPr>
                <w:rFonts w:ascii="標楷體" w:eastAsia="標楷體" w:hAnsi="標楷體" w:hint="eastAsia"/>
              </w:rPr>
              <w:t>000*1.91％</w:t>
            </w:r>
            <w:r w:rsidR="00894664">
              <w:rPr>
                <w:rFonts w:ascii="標楷體" w:eastAsia="標楷體" w:hAnsi="標楷體" w:hint="eastAsia"/>
              </w:rPr>
              <w:t>=</w:t>
            </w:r>
            <w:r>
              <w:rPr>
                <w:rFonts w:ascii="標楷體" w:eastAsia="標楷體" w:hAnsi="標楷體" w:hint="eastAsia"/>
              </w:rPr>
              <w:t>115</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3</w:t>
            </w:r>
          </w:p>
        </w:tc>
        <w:tc>
          <w:tcPr>
            <w:tcW w:w="2398" w:type="dxa"/>
          </w:tcPr>
          <w:p w:rsidR="00894664" w:rsidRDefault="00894664" w:rsidP="00894664">
            <w:pPr>
              <w:jc w:val="center"/>
              <w:rPr>
                <w:rFonts w:ascii="標楷體" w:eastAsia="標楷體" w:hAnsi="標楷體"/>
              </w:rPr>
            </w:pPr>
            <w:r>
              <w:rPr>
                <w:rFonts w:ascii="標楷體" w:eastAsia="標楷體" w:hAnsi="標楷體" w:hint="eastAsia"/>
              </w:rPr>
              <w:t>教具材料費</w:t>
            </w:r>
          </w:p>
        </w:tc>
        <w:tc>
          <w:tcPr>
            <w:tcW w:w="1636" w:type="dxa"/>
          </w:tcPr>
          <w:p w:rsidR="00894664" w:rsidRDefault="00894664" w:rsidP="00894664">
            <w:pPr>
              <w:jc w:val="center"/>
              <w:rPr>
                <w:rFonts w:ascii="標楷體" w:eastAsia="標楷體" w:hAnsi="標楷體"/>
              </w:rPr>
            </w:pPr>
            <w:r>
              <w:rPr>
                <w:rFonts w:ascii="標楷體" w:eastAsia="標楷體" w:hAnsi="標楷體" w:hint="eastAsia"/>
              </w:rPr>
              <w:t>200</w:t>
            </w:r>
          </w:p>
        </w:tc>
        <w:tc>
          <w:tcPr>
            <w:tcW w:w="1069" w:type="dxa"/>
          </w:tcPr>
          <w:p w:rsidR="00894664" w:rsidRDefault="00894664" w:rsidP="00894664">
            <w:pPr>
              <w:jc w:val="center"/>
              <w:rPr>
                <w:rFonts w:ascii="標楷體" w:eastAsia="標楷體" w:hAnsi="標楷體"/>
              </w:rPr>
            </w:pPr>
            <w:r>
              <w:rPr>
                <w:rFonts w:ascii="標楷體" w:eastAsia="標楷體" w:hAnsi="標楷體" w:hint="eastAsia"/>
              </w:rPr>
              <w:t>21</w:t>
            </w:r>
          </w:p>
        </w:tc>
        <w:tc>
          <w:tcPr>
            <w:tcW w:w="1276" w:type="dxa"/>
          </w:tcPr>
          <w:p w:rsidR="00894664" w:rsidRDefault="00894664" w:rsidP="00894664">
            <w:pPr>
              <w:jc w:val="center"/>
              <w:rPr>
                <w:rFonts w:ascii="標楷體" w:eastAsia="標楷體" w:hAnsi="標楷體"/>
              </w:rPr>
            </w:pPr>
            <w:r>
              <w:rPr>
                <w:rFonts w:ascii="標楷體" w:eastAsia="標楷體" w:hAnsi="標楷體" w:hint="eastAsia"/>
              </w:rPr>
              <w:t>4200</w:t>
            </w:r>
          </w:p>
        </w:tc>
        <w:tc>
          <w:tcPr>
            <w:tcW w:w="2262" w:type="dxa"/>
          </w:tcPr>
          <w:p w:rsidR="00894664" w:rsidRDefault="00894664" w:rsidP="00894664">
            <w:pPr>
              <w:jc w:val="center"/>
              <w:rPr>
                <w:rFonts w:ascii="標楷體" w:eastAsia="標楷體" w:hAnsi="標楷體"/>
              </w:rPr>
            </w:pPr>
            <w:r>
              <w:rPr>
                <w:rFonts w:ascii="標楷體" w:eastAsia="標楷體" w:hAnsi="標楷體" w:hint="eastAsia"/>
              </w:rPr>
              <w:t>200元/人*21人</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4</w:t>
            </w:r>
          </w:p>
        </w:tc>
        <w:tc>
          <w:tcPr>
            <w:tcW w:w="2398" w:type="dxa"/>
          </w:tcPr>
          <w:p w:rsidR="00894664" w:rsidRDefault="000A6BCB" w:rsidP="00894664">
            <w:pPr>
              <w:jc w:val="center"/>
              <w:rPr>
                <w:rFonts w:ascii="標楷體" w:eastAsia="標楷體" w:hAnsi="標楷體"/>
              </w:rPr>
            </w:pPr>
            <w:r>
              <w:rPr>
                <w:rFonts w:ascii="標楷體" w:eastAsia="標楷體" w:hAnsi="標楷體" w:hint="eastAsia"/>
              </w:rPr>
              <w:t>雜支</w:t>
            </w:r>
          </w:p>
        </w:tc>
        <w:tc>
          <w:tcPr>
            <w:tcW w:w="163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1069" w:type="dxa"/>
          </w:tcPr>
          <w:p w:rsidR="00894664" w:rsidRDefault="000A6BCB" w:rsidP="00894664">
            <w:pPr>
              <w:jc w:val="center"/>
              <w:rPr>
                <w:rFonts w:ascii="標楷體" w:eastAsia="標楷體" w:hAnsi="標楷體"/>
              </w:rPr>
            </w:pPr>
            <w:r>
              <w:rPr>
                <w:rFonts w:ascii="標楷體" w:eastAsia="標楷體" w:hAnsi="標楷體" w:hint="eastAsia"/>
              </w:rPr>
              <w:t>1</w:t>
            </w: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5</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總計</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11</w:t>
            </w:r>
            <w:r>
              <w:rPr>
                <w:rFonts w:ascii="標楷體" w:eastAsia="標楷體" w:hAnsi="標楷體"/>
              </w:rPr>
              <w:t>,</w:t>
            </w:r>
            <w:r w:rsidR="000A6BCB">
              <w:rPr>
                <w:rFonts w:ascii="標楷體" w:eastAsia="標楷體" w:hAnsi="標楷體" w:hint="eastAsia"/>
              </w:rPr>
              <w:t>000</w:t>
            </w:r>
          </w:p>
        </w:tc>
        <w:tc>
          <w:tcPr>
            <w:tcW w:w="2262" w:type="dxa"/>
          </w:tcPr>
          <w:p w:rsidR="00894664" w:rsidRDefault="00894664" w:rsidP="00894664">
            <w:pPr>
              <w:jc w:val="center"/>
              <w:rPr>
                <w:rFonts w:ascii="標楷體" w:eastAsia="標楷體" w:hAnsi="標楷體"/>
              </w:rPr>
            </w:pPr>
          </w:p>
        </w:tc>
      </w:tr>
    </w:tbl>
    <w:p w:rsidR="005B7E79" w:rsidRPr="00BB532A" w:rsidRDefault="005B7E79" w:rsidP="005B7E79">
      <w:pPr>
        <w:jc w:val="center"/>
        <w:rPr>
          <w:rFonts w:ascii="標楷體" w:eastAsia="標楷體" w:hAnsi="標楷體"/>
        </w:rPr>
      </w:pPr>
    </w:p>
    <w:p w:rsidR="005B7E79" w:rsidRPr="005B7E79" w:rsidRDefault="005B7E79" w:rsidP="005B7E79">
      <w:pPr>
        <w:rPr>
          <w:rFonts w:ascii="標楷體" w:eastAsia="標楷體" w:hAnsi="標楷體"/>
        </w:rPr>
      </w:pPr>
    </w:p>
    <w:sectPr w:rsidR="005B7E79" w:rsidRPr="005B7E79" w:rsidSect="00F35262">
      <w:pgSz w:w="11906" w:h="16838"/>
      <w:pgMar w:top="1440" w:right="1133"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A6BCB"/>
    <w:rsid w:val="001204D7"/>
    <w:rsid w:val="0026095D"/>
    <w:rsid w:val="00266138"/>
    <w:rsid w:val="002B7DD2"/>
    <w:rsid w:val="0030097F"/>
    <w:rsid w:val="003076B1"/>
    <w:rsid w:val="004C5C97"/>
    <w:rsid w:val="00540545"/>
    <w:rsid w:val="005B7E79"/>
    <w:rsid w:val="00624D30"/>
    <w:rsid w:val="00752368"/>
    <w:rsid w:val="007D48E4"/>
    <w:rsid w:val="00894664"/>
    <w:rsid w:val="00BB532A"/>
    <w:rsid w:val="00C07934"/>
    <w:rsid w:val="00E9214D"/>
    <w:rsid w:val="00E9784F"/>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44860-99E6-4FD6-A490-979A2C85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dghs</dc:creator>
  <cp:keywords/>
  <dc:description/>
  <cp:lastModifiedBy>gin-fun01</cp:lastModifiedBy>
  <cp:revision>2</cp:revision>
  <dcterms:created xsi:type="dcterms:W3CDTF">2021-03-29T08:56:00Z</dcterms:created>
  <dcterms:modified xsi:type="dcterms:W3CDTF">2021-03-29T08:56:00Z</dcterms:modified>
</cp:coreProperties>
</file>